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B8F5" w14:textId="77777777" w:rsidR="00D82F58" w:rsidRPr="00D82F58" w:rsidRDefault="00D82F58" w:rsidP="00D82F58">
      <w:pPr>
        <w:spacing w:after="0" w:line="240" w:lineRule="auto"/>
        <w:jc w:val="center"/>
        <w:rPr>
          <w:sz w:val="24"/>
          <w:szCs w:val="24"/>
          <w:u w:val="single"/>
        </w:rPr>
      </w:pPr>
      <w:r w:rsidRPr="00D82F58">
        <w:rPr>
          <w:sz w:val="24"/>
          <w:szCs w:val="24"/>
          <w:u w:val="single"/>
        </w:rPr>
        <w:t>Preventive Controls Educators and Regulators</w:t>
      </w:r>
    </w:p>
    <w:p w14:paraId="229E9F06" w14:textId="14E3BAE5" w:rsidR="00073AFD" w:rsidRDefault="00073AFD" w:rsidP="00073AFD">
      <w:pPr>
        <w:spacing w:after="0" w:line="240" w:lineRule="auto"/>
        <w:jc w:val="center"/>
        <w:rPr>
          <w:sz w:val="24"/>
          <w:szCs w:val="24"/>
        </w:rPr>
      </w:pPr>
      <w:r>
        <w:rPr>
          <w:sz w:val="24"/>
          <w:szCs w:val="24"/>
        </w:rPr>
        <w:t>Thurs</w:t>
      </w:r>
      <w:r w:rsidRPr="00181411">
        <w:rPr>
          <w:sz w:val="24"/>
          <w:szCs w:val="24"/>
        </w:rPr>
        <w:t>day, July 1</w:t>
      </w:r>
      <w:r>
        <w:rPr>
          <w:sz w:val="24"/>
          <w:szCs w:val="24"/>
        </w:rPr>
        <w:t>7</w:t>
      </w:r>
      <w:r w:rsidRPr="00181411">
        <w:rPr>
          <w:sz w:val="24"/>
          <w:szCs w:val="24"/>
          <w:vertAlign w:val="superscript"/>
        </w:rPr>
        <w:t>th</w:t>
      </w:r>
      <w:r w:rsidRPr="00181411">
        <w:rPr>
          <w:sz w:val="24"/>
          <w:szCs w:val="24"/>
        </w:rPr>
        <w:t xml:space="preserve"> 9:00 – 1</w:t>
      </w:r>
      <w:r w:rsidR="00D82F58">
        <w:rPr>
          <w:sz w:val="24"/>
          <w:szCs w:val="24"/>
        </w:rPr>
        <w:t>1</w:t>
      </w:r>
      <w:r w:rsidRPr="00181411">
        <w:rPr>
          <w:sz w:val="24"/>
          <w:szCs w:val="24"/>
        </w:rPr>
        <w:t>:00am</w:t>
      </w:r>
    </w:p>
    <w:p w14:paraId="3A4769C5" w14:textId="77777777" w:rsidR="00073AFD" w:rsidRDefault="00073AFD" w:rsidP="00073AFD">
      <w:pPr>
        <w:spacing w:after="0" w:line="240" w:lineRule="auto"/>
        <w:jc w:val="center"/>
        <w:rPr>
          <w:sz w:val="24"/>
          <w:szCs w:val="24"/>
        </w:rPr>
      </w:pPr>
    </w:p>
    <w:p w14:paraId="60B17412" w14:textId="77777777" w:rsidR="00073AFD" w:rsidRPr="00411BE9" w:rsidRDefault="00073AFD" w:rsidP="00073AFD">
      <w:pPr>
        <w:spacing w:after="0" w:line="240" w:lineRule="auto"/>
        <w:jc w:val="center"/>
        <w:rPr>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6750"/>
        <w:gridCol w:w="1520"/>
      </w:tblGrid>
      <w:tr w:rsidR="00073AFD" w:rsidRPr="00411BE9" w14:paraId="598FD929" w14:textId="77777777" w:rsidTr="000D16C7">
        <w:tc>
          <w:tcPr>
            <w:tcW w:w="1080" w:type="dxa"/>
            <w:tcBorders>
              <w:bottom w:val="single" w:sz="4" w:space="0" w:color="auto"/>
            </w:tcBorders>
          </w:tcPr>
          <w:p w14:paraId="12BEB7A6" w14:textId="77777777" w:rsidR="00073AFD" w:rsidRPr="00411BE9" w:rsidRDefault="00073AFD" w:rsidP="009A3063">
            <w:pPr>
              <w:rPr>
                <w:b/>
                <w:bCs/>
                <w:sz w:val="32"/>
                <w:szCs w:val="32"/>
              </w:rPr>
            </w:pPr>
            <w:r w:rsidRPr="00411BE9">
              <w:rPr>
                <w:b/>
                <w:bCs/>
                <w:sz w:val="32"/>
                <w:szCs w:val="32"/>
              </w:rPr>
              <w:t>Time</w:t>
            </w:r>
          </w:p>
        </w:tc>
        <w:tc>
          <w:tcPr>
            <w:tcW w:w="6750" w:type="dxa"/>
            <w:tcBorders>
              <w:bottom w:val="single" w:sz="4" w:space="0" w:color="auto"/>
            </w:tcBorders>
          </w:tcPr>
          <w:p w14:paraId="39981E5E" w14:textId="77777777" w:rsidR="00073AFD" w:rsidRPr="00411BE9" w:rsidRDefault="00073AFD" w:rsidP="009A3063">
            <w:pPr>
              <w:rPr>
                <w:b/>
                <w:bCs/>
                <w:sz w:val="32"/>
                <w:szCs w:val="32"/>
              </w:rPr>
            </w:pPr>
            <w:r w:rsidRPr="00411BE9">
              <w:rPr>
                <w:b/>
                <w:bCs/>
                <w:sz w:val="32"/>
                <w:szCs w:val="32"/>
              </w:rPr>
              <w:t>Topic</w:t>
            </w:r>
          </w:p>
        </w:tc>
        <w:tc>
          <w:tcPr>
            <w:tcW w:w="1520" w:type="dxa"/>
            <w:tcBorders>
              <w:bottom w:val="single" w:sz="4" w:space="0" w:color="auto"/>
            </w:tcBorders>
          </w:tcPr>
          <w:p w14:paraId="1BD1C56E" w14:textId="77777777" w:rsidR="00073AFD" w:rsidRPr="00411BE9" w:rsidRDefault="00073AFD" w:rsidP="009A3063">
            <w:pPr>
              <w:rPr>
                <w:b/>
                <w:bCs/>
                <w:sz w:val="32"/>
                <w:szCs w:val="32"/>
              </w:rPr>
            </w:pPr>
            <w:r w:rsidRPr="00411BE9">
              <w:rPr>
                <w:b/>
                <w:bCs/>
                <w:sz w:val="32"/>
                <w:szCs w:val="32"/>
              </w:rPr>
              <w:t>Presenter</w:t>
            </w:r>
          </w:p>
        </w:tc>
      </w:tr>
      <w:tr w:rsidR="00073AFD" w14:paraId="2824C02F" w14:textId="77777777" w:rsidTr="000D16C7">
        <w:tc>
          <w:tcPr>
            <w:tcW w:w="1080" w:type="dxa"/>
            <w:tcBorders>
              <w:top w:val="single" w:sz="4" w:space="0" w:color="auto"/>
              <w:bottom w:val="single" w:sz="4" w:space="0" w:color="auto"/>
            </w:tcBorders>
          </w:tcPr>
          <w:p w14:paraId="7E8AEFAE" w14:textId="4DA44094" w:rsidR="00073AFD" w:rsidRDefault="00073AFD" w:rsidP="009A3063">
            <w:r>
              <w:t>9:00am</w:t>
            </w:r>
          </w:p>
        </w:tc>
        <w:tc>
          <w:tcPr>
            <w:tcW w:w="6750" w:type="dxa"/>
            <w:tcBorders>
              <w:top w:val="single" w:sz="4" w:space="0" w:color="auto"/>
              <w:bottom w:val="single" w:sz="4" w:space="0" w:color="auto"/>
            </w:tcBorders>
          </w:tcPr>
          <w:p w14:paraId="01AB12CE" w14:textId="21542B8B" w:rsidR="00073AFD" w:rsidRDefault="00317F69" w:rsidP="00317F69">
            <w:r>
              <w:t>Welcome and Introductions through</w:t>
            </w:r>
            <w:r w:rsidR="00ED1970">
              <w:t xml:space="preserve"> chat</w:t>
            </w:r>
          </w:p>
          <w:p w14:paraId="1AFD1053" w14:textId="77777777" w:rsidR="00073AFD" w:rsidRDefault="00073AFD" w:rsidP="009A3063">
            <w:pPr>
              <w:pStyle w:val="ListParagraph"/>
              <w:spacing w:after="160" w:line="259" w:lineRule="auto"/>
              <w:ind w:left="1080"/>
            </w:pPr>
          </w:p>
        </w:tc>
        <w:tc>
          <w:tcPr>
            <w:tcW w:w="1520" w:type="dxa"/>
            <w:tcBorders>
              <w:top w:val="single" w:sz="4" w:space="0" w:color="auto"/>
              <w:bottom w:val="single" w:sz="4" w:space="0" w:color="auto"/>
            </w:tcBorders>
          </w:tcPr>
          <w:p w14:paraId="79680F6D" w14:textId="24F8ED0D" w:rsidR="00073AFD" w:rsidRDefault="00ED1970" w:rsidP="009A3063">
            <w:r>
              <w:t>Annie Fitzgerald, NECAFS</w:t>
            </w:r>
          </w:p>
        </w:tc>
      </w:tr>
      <w:tr w:rsidR="00ED1970" w14:paraId="1BE40328" w14:textId="77777777" w:rsidTr="000D16C7">
        <w:tc>
          <w:tcPr>
            <w:tcW w:w="1080" w:type="dxa"/>
            <w:tcBorders>
              <w:top w:val="single" w:sz="4" w:space="0" w:color="auto"/>
              <w:bottom w:val="single" w:sz="4" w:space="0" w:color="auto"/>
            </w:tcBorders>
          </w:tcPr>
          <w:p w14:paraId="2AF34E9A" w14:textId="0E2D584B" w:rsidR="00ED1970" w:rsidRDefault="00ED1970" w:rsidP="009A3063">
            <w:r>
              <w:t>9:0</w:t>
            </w:r>
            <w:r w:rsidR="000A7ECA">
              <w:t>5</w:t>
            </w:r>
            <w:r w:rsidR="00AA39ED">
              <w:t xml:space="preserve"> – 9:</w:t>
            </w:r>
            <w:r w:rsidR="000A7ECA">
              <w:t>15am</w:t>
            </w:r>
          </w:p>
        </w:tc>
        <w:tc>
          <w:tcPr>
            <w:tcW w:w="6750" w:type="dxa"/>
            <w:tcBorders>
              <w:top w:val="single" w:sz="4" w:space="0" w:color="auto"/>
              <w:bottom w:val="single" w:sz="4" w:space="0" w:color="auto"/>
            </w:tcBorders>
          </w:tcPr>
          <w:p w14:paraId="3D40BEFD" w14:textId="0C9F9090" w:rsidR="00ED1970" w:rsidRDefault="000A7ECA" w:rsidP="00317F69">
            <w:r>
              <w:t>Highlights of preventive controls workgroup: completed</w:t>
            </w:r>
            <w:r w:rsidR="000E1B14">
              <w:t>/</w:t>
            </w:r>
            <w:r>
              <w:t>ongoing work</w:t>
            </w:r>
          </w:p>
          <w:p w14:paraId="6A85CDF4" w14:textId="77777777" w:rsidR="000A7ECA" w:rsidRPr="000E1B14" w:rsidRDefault="00BA7C1D" w:rsidP="00BA7C1D">
            <w:pPr>
              <w:pStyle w:val="ListParagraph"/>
              <w:numPr>
                <w:ilvl w:val="0"/>
                <w:numId w:val="3"/>
              </w:numPr>
              <w:rPr>
                <w:sz w:val="20"/>
                <w:szCs w:val="20"/>
              </w:rPr>
            </w:pPr>
            <w:r w:rsidRPr="000E1B14">
              <w:rPr>
                <w:sz w:val="20"/>
                <w:szCs w:val="20"/>
              </w:rPr>
              <w:t>Needs assessment</w:t>
            </w:r>
          </w:p>
          <w:p w14:paraId="6909C977" w14:textId="77777777" w:rsidR="00BA7C1D" w:rsidRPr="000E1B14" w:rsidRDefault="00BA7C1D" w:rsidP="00BA7C1D">
            <w:pPr>
              <w:pStyle w:val="ListParagraph"/>
              <w:numPr>
                <w:ilvl w:val="0"/>
                <w:numId w:val="3"/>
              </w:numPr>
              <w:rPr>
                <w:sz w:val="20"/>
                <w:szCs w:val="20"/>
              </w:rPr>
            </w:pPr>
            <w:r w:rsidRPr="000E1B14">
              <w:rPr>
                <w:sz w:val="20"/>
                <w:szCs w:val="20"/>
              </w:rPr>
              <w:t>Processors Food Safety Toolkit</w:t>
            </w:r>
          </w:p>
          <w:p w14:paraId="249FDE6F" w14:textId="77777777" w:rsidR="00BA7C1D" w:rsidRPr="000E1B14" w:rsidRDefault="00BA7C1D" w:rsidP="00BA7C1D">
            <w:pPr>
              <w:pStyle w:val="ListParagraph"/>
              <w:numPr>
                <w:ilvl w:val="0"/>
                <w:numId w:val="3"/>
              </w:numPr>
              <w:rPr>
                <w:sz w:val="20"/>
                <w:szCs w:val="20"/>
              </w:rPr>
            </w:pPr>
            <w:r w:rsidRPr="000E1B14">
              <w:rPr>
                <w:sz w:val="20"/>
                <w:szCs w:val="20"/>
              </w:rPr>
              <w:t>PCQI Course Evaluation</w:t>
            </w:r>
          </w:p>
          <w:p w14:paraId="49079F63" w14:textId="77777777" w:rsidR="00BA7C1D" w:rsidRPr="000E1B14" w:rsidRDefault="00BA7C1D" w:rsidP="00BA7C1D">
            <w:pPr>
              <w:pStyle w:val="ListParagraph"/>
              <w:numPr>
                <w:ilvl w:val="0"/>
                <w:numId w:val="3"/>
              </w:numPr>
              <w:rPr>
                <w:sz w:val="20"/>
                <w:szCs w:val="20"/>
              </w:rPr>
            </w:pPr>
            <w:r w:rsidRPr="000E1B14">
              <w:rPr>
                <w:sz w:val="20"/>
                <w:szCs w:val="20"/>
              </w:rPr>
              <w:t>Validation Educational Materials</w:t>
            </w:r>
          </w:p>
          <w:p w14:paraId="531B3B3E" w14:textId="74B35D82" w:rsidR="00FE18D1" w:rsidRDefault="00FE18D1" w:rsidP="00FE18D1">
            <w:pPr>
              <w:pStyle w:val="ListParagraph"/>
            </w:pPr>
          </w:p>
        </w:tc>
        <w:tc>
          <w:tcPr>
            <w:tcW w:w="1520" w:type="dxa"/>
            <w:tcBorders>
              <w:top w:val="single" w:sz="4" w:space="0" w:color="auto"/>
              <w:bottom w:val="single" w:sz="4" w:space="0" w:color="auto"/>
            </w:tcBorders>
          </w:tcPr>
          <w:p w14:paraId="56BC966F" w14:textId="1103F163" w:rsidR="00ED1970" w:rsidRDefault="00AA0D73" w:rsidP="009A3063">
            <w:r>
              <w:t>Annie Fitzgerald, NECAFS</w:t>
            </w:r>
          </w:p>
        </w:tc>
      </w:tr>
      <w:tr w:rsidR="00AA0D73" w14:paraId="775F3B9B" w14:textId="77777777" w:rsidTr="000D16C7">
        <w:tc>
          <w:tcPr>
            <w:tcW w:w="1080" w:type="dxa"/>
            <w:tcBorders>
              <w:top w:val="single" w:sz="4" w:space="0" w:color="auto"/>
              <w:bottom w:val="single" w:sz="4" w:space="0" w:color="auto"/>
            </w:tcBorders>
          </w:tcPr>
          <w:p w14:paraId="69E111C2" w14:textId="22DD991D" w:rsidR="00AA0D73" w:rsidRDefault="00AA0D73" w:rsidP="009A3063">
            <w:r>
              <w:t>9:15</w:t>
            </w:r>
            <w:r w:rsidR="00614355">
              <w:t xml:space="preserve"> – </w:t>
            </w:r>
            <w:r w:rsidR="00CA10D8">
              <w:t>10:00</w:t>
            </w:r>
            <w:r w:rsidR="00614355">
              <w:t>am</w:t>
            </w:r>
          </w:p>
        </w:tc>
        <w:tc>
          <w:tcPr>
            <w:tcW w:w="6750" w:type="dxa"/>
            <w:tcBorders>
              <w:top w:val="single" w:sz="4" w:space="0" w:color="auto"/>
              <w:bottom w:val="single" w:sz="4" w:space="0" w:color="auto"/>
            </w:tcBorders>
          </w:tcPr>
          <w:p w14:paraId="50D117EA" w14:textId="77777777" w:rsidR="00AA0D73" w:rsidRDefault="00D84241" w:rsidP="00317F69">
            <w:r w:rsidRPr="00D84241">
              <w:t>Building Blocks of Preventive Controls: Training Innovations for Small Processors</w:t>
            </w:r>
          </w:p>
          <w:p w14:paraId="15ECEB2F" w14:textId="61942987" w:rsidR="00CA77FE" w:rsidRPr="00E51464" w:rsidRDefault="00E51464" w:rsidP="00E51464">
            <w:pPr>
              <w:pStyle w:val="ListParagraph"/>
              <w:numPr>
                <w:ilvl w:val="0"/>
                <w:numId w:val="5"/>
              </w:numPr>
              <w:rPr>
                <w:sz w:val="20"/>
                <w:szCs w:val="20"/>
              </w:rPr>
            </w:pPr>
            <w:r w:rsidRPr="00E51464">
              <w:rPr>
                <w:sz w:val="20"/>
                <w:szCs w:val="20"/>
              </w:rPr>
              <w:t>This session highlights the development of foundational training materials designed to introduce small processors to preventive controls, showcasing innovative approaches to course design and delivery.</w:t>
            </w:r>
          </w:p>
          <w:p w14:paraId="67D88D90" w14:textId="77777777" w:rsidR="00E51464" w:rsidRDefault="00E51464" w:rsidP="00317F69"/>
          <w:p w14:paraId="1473D856" w14:textId="39F785E6" w:rsidR="00CA77FE" w:rsidRDefault="00CA77FE" w:rsidP="00317F69">
            <w:pPr>
              <w:rPr>
                <w:i/>
                <w:iCs/>
              </w:rPr>
            </w:pPr>
            <w:r w:rsidRPr="00E51464">
              <w:rPr>
                <w:i/>
                <w:iCs/>
              </w:rPr>
              <w:t>Equipping Small Processors to Thrive in Larger Markets: A Hybrid Approach to Support Training Efficacy</w:t>
            </w:r>
          </w:p>
          <w:p w14:paraId="468FC838" w14:textId="77777777" w:rsidR="00BF070B" w:rsidRDefault="00BF070B" w:rsidP="00317F69">
            <w:pPr>
              <w:rPr>
                <w:i/>
                <w:iCs/>
              </w:rPr>
            </w:pPr>
          </w:p>
          <w:p w14:paraId="5DDC12A2" w14:textId="58B8AD0C" w:rsidR="00BF070B" w:rsidRPr="00E51464" w:rsidRDefault="00EE0D83" w:rsidP="00317F69">
            <w:pPr>
              <w:rPr>
                <w:i/>
                <w:iCs/>
              </w:rPr>
            </w:pPr>
            <w:r>
              <w:rPr>
                <w:i/>
                <w:iCs/>
              </w:rPr>
              <w:t>Course from OSU</w:t>
            </w:r>
          </w:p>
          <w:p w14:paraId="7A73381C" w14:textId="67581DDA" w:rsidR="00CA77FE" w:rsidRPr="00D84241" w:rsidRDefault="00CA77FE" w:rsidP="00E51464">
            <w:pPr>
              <w:pStyle w:val="ListParagraph"/>
            </w:pPr>
          </w:p>
        </w:tc>
        <w:tc>
          <w:tcPr>
            <w:tcW w:w="1520" w:type="dxa"/>
            <w:tcBorders>
              <w:top w:val="single" w:sz="4" w:space="0" w:color="auto"/>
              <w:bottom w:val="single" w:sz="4" w:space="0" w:color="auto"/>
            </w:tcBorders>
          </w:tcPr>
          <w:p w14:paraId="30B4A192" w14:textId="77777777" w:rsidR="00AA0D73" w:rsidRDefault="00AA0D73" w:rsidP="009A3063"/>
          <w:p w14:paraId="56008572" w14:textId="77777777" w:rsidR="00E51464" w:rsidRDefault="00E51464" w:rsidP="009A3063"/>
          <w:p w14:paraId="6EE8CA7A" w14:textId="77777777" w:rsidR="00E51464" w:rsidRDefault="00E51464" w:rsidP="009A3063"/>
          <w:p w14:paraId="11299869" w14:textId="77777777" w:rsidR="000E1B14" w:rsidRDefault="000E1B14" w:rsidP="009A3063"/>
          <w:p w14:paraId="4579DD6C" w14:textId="77777777" w:rsidR="000E1B14" w:rsidRDefault="000E1B14" w:rsidP="009A3063"/>
          <w:p w14:paraId="3E7ED1D0" w14:textId="77777777" w:rsidR="00E51464" w:rsidRDefault="00E51464" w:rsidP="009A3063"/>
          <w:p w14:paraId="211C4918" w14:textId="77777777" w:rsidR="00E51464" w:rsidRDefault="00E51464" w:rsidP="009A3063"/>
          <w:p w14:paraId="2F1CE0B4" w14:textId="77777777" w:rsidR="00E51464" w:rsidRDefault="00E51464" w:rsidP="009A3063">
            <w:r>
              <w:t xml:space="preserve">Alexis Hamilton, </w:t>
            </w:r>
            <w:r w:rsidR="00BF070B">
              <w:t>Virginia Tech</w:t>
            </w:r>
          </w:p>
          <w:p w14:paraId="4C6D63D6" w14:textId="77777777" w:rsidR="00EE0D83" w:rsidRDefault="00EE0D83" w:rsidP="009A3063"/>
          <w:p w14:paraId="4C73A2FD" w14:textId="77777777" w:rsidR="00EE0D83" w:rsidRDefault="00EE0D83" w:rsidP="009A3063">
            <w:r>
              <w:t>Ravi Jadeja, O</w:t>
            </w:r>
            <w:r w:rsidR="00CA10D8">
              <w:t>klahoma State University</w:t>
            </w:r>
          </w:p>
          <w:p w14:paraId="313C74F2" w14:textId="5CEF1A8D" w:rsidR="00FE18D1" w:rsidRDefault="00FE18D1" w:rsidP="009A3063"/>
        </w:tc>
      </w:tr>
      <w:tr w:rsidR="00CA10D8" w14:paraId="5AD6775A" w14:textId="77777777" w:rsidTr="000D16C7">
        <w:tc>
          <w:tcPr>
            <w:tcW w:w="1080" w:type="dxa"/>
            <w:tcBorders>
              <w:top w:val="single" w:sz="4" w:space="0" w:color="auto"/>
              <w:bottom w:val="single" w:sz="4" w:space="0" w:color="auto"/>
            </w:tcBorders>
          </w:tcPr>
          <w:p w14:paraId="4B94544F" w14:textId="166948F4" w:rsidR="00CA10D8" w:rsidRDefault="00CA10D8" w:rsidP="009A3063">
            <w:r>
              <w:t>10:00 – 10:10am</w:t>
            </w:r>
          </w:p>
        </w:tc>
        <w:tc>
          <w:tcPr>
            <w:tcW w:w="6750" w:type="dxa"/>
            <w:tcBorders>
              <w:top w:val="single" w:sz="4" w:space="0" w:color="auto"/>
              <w:bottom w:val="single" w:sz="4" w:space="0" w:color="auto"/>
            </w:tcBorders>
          </w:tcPr>
          <w:p w14:paraId="147339F0" w14:textId="1195B030" w:rsidR="00CA10D8" w:rsidRPr="00D84241" w:rsidRDefault="00CA10D8" w:rsidP="00317F69">
            <w:r>
              <w:t>Break – stretch your legs and look away from the screen</w:t>
            </w:r>
          </w:p>
        </w:tc>
        <w:tc>
          <w:tcPr>
            <w:tcW w:w="1520" w:type="dxa"/>
            <w:tcBorders>
              <w:top w:val="single" w:sz="4" w:space="0" w:color="auto"/>
              <w:bottom w:val="single" w:sz="4" w:space="0" w:color="auto"/>
            </w:tcBorders>
          </w:tcPr>
          <w:p w14:paraId="5A222711" w14:textId="77777777" w:rsidR="00CA10D8" w:rsidRDefault="00CA10D8" w:rsidP="009A3063"/>
          <w:p w14:paraId="23825A7F" w14:textId="77777777" w:rsidR="00FE18D1" w:rsidRDefault="00FE18D1" w:rsidP="009A3063"/>
        </w:tc>
      </w:tr>
      <w:tr w:rsidR="00CA10D8" w14:paraId="7E533F4C" w14:textId="77777777" w:rsidTr="000D16C7">
        <w:tc>
          <w:tcPr>
            <w:tcW w:w="1080" w:type="dxa"/>
            <w:tcBorders>
              <w:top w:val="single" w:sz="4" w:space="0" w:color="auto"/>
              <w:bottom w:val="single" w:sz="4" w:space="0" w:color="auto"/>
            </w:tcBorders>
          </w:tcPr>
          <w:p w14:paraId="26D6F431" w14:textId="655C0644" w:rsidR="00CA10D8" w:rsidRDefault="0049508B" w:rsidP="009A3063">
            <w:r>
              <w:t>10:10</w:t>
            </w:r>
            <w:r w:rsidR="00FE18D1">
              <w:t xml:space="preserve"> – 10:40am</w:t>
            </w:r>
          </w:p>
        </w:tc>
        <w:tc>
          <w:tcPr>
            <w:tcW w:w="6750" w:type="dxa"/>
            <w:tcBorders>
              <w:top w:val="single" w:sz="4" w:space="0" w:color="auto"/>
              <w:bottom w:val="single" w:sz="4" w:space="0" w:color="auto"/>
            </w:tcBorders>
          </w:tcPr>
          <w:p w14:paraId="05AB01CF" w14:textId="77777777" w:rsidR="00CA10D8" w:rsidRDefault="00E208EA" w:rsidP="00317F69">
            <w:r w:rsidRPr="00E208EA">
              <w:t>Don't Reinvent the Wheel: Leveraging Shared Training Tools</w:t>
            </w:r>
          </w:p>
          <w:p w14:paraId="37190288" w14:textId="77777777" w:rsidR="008539E1" w:rsidRPr="000E1B14" w:rsidRDefault="008539E1" w:rsidP="008539E1">
            <w:pPr>
              <w:pStyle w:val="ListParagraph"/>
              <w:numPr>
                <w:ilvl w:val="0"/>
                <w:numId w:val="7"/>
              </w:numPr>
              <w:rPr>
                <w:sz w:val="20"/>
                <w:szCs w:val="20"/>
              </w:rPr>
            </w:pPr>
            <w:r w:rsidRPr="000E1B14">
              <w:rPr>
                <w:sz w:val="20"/>
                <w:szCs w:val="20"/>
              </w:rPr>
              <w:t>This discussion explores practical strategies for reusing and adapting educational materials developed by others, encouraging participants to creatively leverage existing content to meet their own training needs without starting from scratch.</w:t>
            </w:r>
          </w:p>
          <w:p w14:paraId="7F2F1AEB" w14:textId="77777777" w:rsidR="0090517E" w:rsidRPr="000E1B14" w:rsidRDefault="0090517E" w:rsidP="008539E1">
            <w:pPr>
              <w:pStyle w:val="ListParagraph"/>
              <w:numPr>
                <w:ilvl w:val="0"/>
                <w:numId w:val="7"/>
              </w:numPr>
              <w:rPr>
                <w:sz w:val="20"/>
                <w:szCs w:val="20"/>
              </w:rPr>
            </w:pPr>
            <w:r w:rsidRPr="000E1B14">
              <w:rPr>
                <w:sz w:val="20"/>
                <w:szCs w:val="20"/>
              </w:rPr>
              <w:t xml:space="preserve">Examples of how </w:t>
            </w:r>
            <w:r w:rsidR="003338D0" w:rsidRPr="000E1B14">
              <w:rPr>
                <w:sz w:val="20"/>
                <w:szCs w:val="20"/>
              </w:rPr>
              <w:t xml:space="preserve">partners </w:t>
            </w:r>
            <w:r w:rsidR="00CB5D22" w:rsidRPr="000E1B14">
              <w:rPr>
                <w:sz w:val="20"/>
                <w:szCs w:val="20"/>
              </w:rPr>
              <w:t>utilize</w:t>
            </w:r>
            <w:r w:rsidR="00567E3D" w:rsidRPr="000E1B14">
              <w:rPr>
                <w:sz w:val="20"/>
                <w:szCs w:val="20"/>
              </w:rPr>
              <w:t xml:space="preserve"> materials </w:t>
            </w:r>
            <w:r w:rsidR="00363314" w:rsidRPr="000E1B14">
              <w:rPr>
                <w:sz w:val="20"/>
                <w:szCs w:val="20"/>
              </w:rPr>
              <w:t xml:space="preserve">developed by </w:t>
            </w:r>
            <w:r w:rsidR="00205B9E" w:rsidRPr="000E1B14">
              <w:rPr>
                <w:sz w:val="20"/>
                <w:szCs w:val="20"/>
              </w:rPr>
              <w:t>others</w:t>
            </w:r>
            <w:r w:rsidR="00363314" w:rsidRPr="000E1B14">
              <w:rPr>
                <w:sz w:val="20"/>
                <w:szCs w:val="20"/>
              </w:rPr>
              <w:t xml:space="preserve"> </w:t>
            </w:r>
            <w:r w:rsidR="00B51A52" w:rsidRPr="000E1B14">
              <w:rPr>
                <w:sz w:val="20"/>
                <w:szCs w:val="20"/>
              </w:rPr>
              <w:t>to support their small processors.</w:t>
            </w:r>
          </w:p>
          <w:p w14:paraId="1F62BDE4" w14:textId="254CD285" w:rsidR="00205B9E" w:rsidRPr="008539E1" w:rsidRDefault="00205B9E" w:rsidP="00205B9E">
            <w:pPr>
              <w:pStyle w:val="ListParagraph"/>
            </w:pPr>
          </w:p>
        </w:tc>
        <w:tc>
          <w:tcPr>
            <w:tcW w:w="1520" w:type="dxa"/>
            <w:tcBorders>
              <w:top w:val="single" w:sz="4" w:space="0" w:color="auto"/>
              <w:bottom w:val="single" w:sz="4" w:space="0" w:color="auto"/>
            </w:tcBorders>
          </w:tcPr>
          <w:p w14:paraId="618F3240" w14:textId="77777777" w:rsidR="00CA10D8" w:rsidRDefault="00CB5D22" w:rsidP="009A3063">
            <w:r>
              <w:t>A</w:t>
            </w:r>
            <w:r w:rsidR="00AB681D">
              <w:t>nnie Fitzgerald, NECAFS</w:t>
            </w:r>
          </w:p>
          <w:p w14:paraId="6B82B768" w14:textId="77777777" w:rsidR="00AB681D" w:rsidRDefault="00AB681D" w:rsidP="009A3063"/>
          <w:p w14:paraId="235EA8AD" w14:textId="77777777" w:rsidR="00AB681D" w:rsidRDefault="00AB681D" w:rsidP="009A3063"/>
          <w:p w14:paraId="3720BCF3" w14:textId="77777777" w:rsidR="00AB681D" w:rsidRDefault="00AB681D" w:rsidP="009A3063"/>
          <w:p w14:paraId="2A1B8F3F" w14:textId="3B6D2585" w:rsidR="00AB681D" w:rsidRDefault="00AB681D" w:rsidP="009A3063">
            <w:r>
              <w:t>Cathy Davies, Consultant</w:t>
            </w:r>
          </w:p>
        </w:tc>
      </w:tr>
      <w:tr w:rsidR="00205B9E" w14:paraId="481C3E9F" w14:textId="77777777" w:rsidTr="000D16C7">
        <w:tc>
          <w:tcPr>
            <w:tcW w:w="1080" w:type="dxa"/>
            <w:tcBorders>
              <w:top w:val="single" w:sz="4" w:space="0" w:color="auto"/>
              <w:bottom w:val="single" w:sz="4" w:space="0" w:color="auto"/>
            </w:tcBorders>
          </w:tcPr>
          <w:p w14:paraId="5CF304B4" w14:textId="268F8922" w:rsidR="00205B9E" w:rsidRDefault="00205B9E" w:rsidP="009A3063">
            <w:r>
              <w:t xml:space="preserve">10:40 – 11:00am </w:t>
            </w:r>
          </w:p>
        </w:tc>
        <w:tc>
          <w:tcPr>
            <w:tcW w:w="6750" w:type="dxa"/>
            <w:tcBorders>
              <w:top w:val="single" w:sz="4" w:space="0" w:color="auto"/>
              <w:bottom w:val="single" w:sz="4" w:space="0" w:color="auto"/>
            </w:tcBorders>
          </w:tcPr>
          <w:p w14:paraId="0D16710A" w14:textId="77777777" w:rsidR="00205B9E" w:rsidRDefault="00845EAB" w:rsidP="00317F69">
            <w:r w:rsidRPr="00D54D7E">
              <w:t>Training Treasure Hunt: Uncovering What Already Exists</w:t>
            </w:r>
            <w:r w:rsidR="00205B9E" w:rsidRPr="00D54D7E">
              <w:t xml:space="preserve"> </w:t>
            </w:r>
          </w:p>
          <w:p w14:paraId="72086725" w14:textId="4C7F1C83" w:rsidR="00D54D7E" w:rsidRPr="000E1B14" w:rsidRDefault="000D16C7" w:rsidP="000D16C7">
            <w:pPr>
              <w:pStyle w:val="ListParagraph"/>
              <w:numPr>
                <w:ilvl w:val="0"/>
                <w:numId w:val="8"/>
              </w:numPr>
              <w:rPr>
                <w:sz w:val="20"/>
                <w:szCs w:val="20"/>
              </w:rPr>
            </w:pPr>
            <w:r w:rsidRPr="000E1B14">
              <w:rPr>
                <w:sz w:val="20"/>
                <w:szCs w:val="20"/>
              </w:rPr>
              <w:t>In this interactive segment, participants will contribute to a shared document to identify and catalog existing training materials. The goal is to collaboratively build a comprehensive list of available resources, helping everyone gain a clearer picture of what’s already out there</w:t>
            </w:r>
            <w:r w:rsidRPr="000E1B14">
              <w:rPr>
                <w:sz w:val="20"/>
                <w:szCs w:val="20"/>
              </w:rPr>
              <w:t>.</w:t>
            </w:r>
          </w:p>
        </w:tc>
        <w:tc>
          <w:tcPr>
            <w:tcW w:w="1520" w:type="dxa"/>
            <w:tcBorders>
              <w:top w:val="single" w:sz="4" w:space="0" w:color="auto"/>
              <w:bottom w:val="single" w:sz="4" w:space="0" w:color="auto"/>
            </w:tcBorders>
          </w:tcPr>
          <w:p w14:paraId="4769FD03" w14:textId="746B878E" w:rsidR="00205B9E" w:rsidRDefault="00D54D7E" w:rsidP="009A3063">
            <w:r>
              <w:t>Amanda Kinchla, UMass</w:t>
            </w:r>
          </w:p>
        </w:tc>
      </w:tr>
    </w:tbl>
    <w:p w14:paraId="6D9219E0" w14:textId="679951A4" w:rsidR="009E1565" w:rsidRDefault="009E1565" w:rsidP="000D16C7"/>
    <w:sectPr w:rsidR="009E1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2675A"/>
    <w:multiLevelType w:val="hybridMultilevel"/>
    <w:tmpl w:val="7700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A34B9"/>
    <w:multiLevelType w:val="hybridMultilevel"/>
    <w:tmpl w:val="F02ECB8C"/>
    <w:lvl w:ilvl="0" w:tplc="CF5EDCD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22AB5"/>
    <w:multiLevelType w:val="hybridMultilevel"/>
    <w:tmpl w:val="1FC8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65C00"/>
    <w:multiLevelType w:val="hybridMultilevel"/>
    <w:tmpl w:val="5720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B740F"/>
    <w:multiLevelType w:val="hybridMultilevel"/>
    <w:tmpl w:val="DA4C549C"/>
    <w:lvl w:ilvl="0" w:tplc="3F529F4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069EE"/>
    <w:multiLevelType w:val="hybridMultilevel"/>
    <w:tmpl w:val="380C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B30DB"/>
    <w:multiLevelType w:val="hybridMultilevel"/>
    <w:tmpl w:val="F840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617DC"/>
    <w:multiLevelType w:val="hybridMultilevel"/>
    <w:tmpl w:val="0AAA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962209">
    <w:abstractNumId w:val="4"/>
  </w:num>
  <w:num w:numId="2" w16cid:durableId="426120485">
    <w:abstractNumId w:val="1"/>
  </w:num>
  <w:num w:numId="3" w16cid:durableId="315451828">
    <w:abstractNumId w:val="6"/>
  </w:num>
  <w:num w:numId="4" w16cid:durableId="1887910492">
    <w:abstractNumId w:val="2"/>
  </w:num>
  <w:num w:numId="5" w16cid:durableId="1054933628">
    <w:abstractNumId w:val="7"/>
  </w:num>
  <w:num w:numId="6" w16cid:durableId="1226843255">
    <w:abstractNumId w:val="0"/>
  </w:num>
  <w:num w:numId="7" w16cid:durableId="430200996">
    <w:abstractNumId w:val="5"/>
  </w:num>
  <w:num w:numId="8" w16cid:durableId="1546403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5E"/>
    <w:rsid w:val="00073AFD"/>
    <w:rsid w:val="000A7ECA"/>
    <w:rsid w:val="000D16C7"/>
    <w:rsid w:val="000E1B14"/>
    <w:rsid w:val="001A205B"/>
    <w:rsid w:val="00205B9E"/>
    <w:rsid w:val="00317F69"/>
    <w:rsid w:val="00323E64"/>
    <w:rsid w:val="003338D0"/>
    <w:rsid w:val="00363314"/>
    <w:rsid w:val="003B24E8"/>
    <w:rsid w:val="0049508B"/>
    <w:rsid w:val="005269AB"/>
    <w:rsid w:val="005351F7"/>
    <w:rsid w:val="00567E3D"/>
    <w:rsid w:val="00601A2D"/>
    <w:rsid w:val="00614355"/>
    <w:rsid w:val="00743CFB"/>
    <w:rsid w:val="00783ECC"/>
    <w:rsid w:val="00845EAB"/>
    <w:rsid w:val="008539E1"/>
    <w:rsid w:val="008B4092"/>
    <w:rsid w:val="0090517E"/>
    <w:rsid w:val="00927DAC"/>
    <w:rsid w:val="00967695"/>
    <w:rsid w:val="009A0C16"/>
    <w:rsid w:val="009C4542"/>
    <w:rsid w:val="009E1565"/>
    <w:rsid w:val="00A42B85"/>
    <w:rsid w:val="00A97857"/>
    <w:rsid w:val="00AA0D73"/>
    <w:rsid w:val="00AA39ED"/>
    <w:rsid w:val="00AB445E"/>
    <w:rsid w:val="00AB681D"/>
    <w:rsid w:val="00B51A52"/>
    <w:rsid w:val="00B644B8"/>
    <w:rsid w:val="00BA7C1D"/>
    <w:rsid w:val="00BF070B"/>
    <w:rsid w:val="00CA10D8"/>
    <w:rsid w:val="00CA77FE"/>
    <w:rsid w:val="00CB5D22"/>
    <w:rsid w:val="00D54D7E"/>
    <w:rsid w:val="00D82F58"/>
    <w:rsid w:val="00D84241"/>
    <w:rsid w:val="00DC5773"/>
    <w:rsid w:val="00E208EA"/>
    <w:rsid w:val="00E316E7"/>
    <w:rsid w:val="00E51464"/>
    <w:rsid w:val="00E64B65"/>
    <w:rsid w:val="00EA369E"/>
    <w:rsid w:val="00EB1F2F"/>
    <w:rsid w:val="00ED1970"/>
    <w:rsid w:val="00EE0D83"/>
    <w:rsid w:val="00EE1E94"/>
    <w:rsid w:val="00F55280"/>
    <w:rsid w:val="00FE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C1F1"/>
  <w15:chartTrackingRefBased/>
  <w15:docId w15:val="{0B60ABD6-9549-42ED-8DC2-6CE2FE9A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4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44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44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44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44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4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4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44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44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44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44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4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45E"/>
    <w:rPr>
      <w:rFonts w:eastAsiaTheme="majorEastAsia" w:cstheme="majorBidi"/>
      <w:color w:val="272727" w:themeColor="text1" w:themeTint="D8"/>
    </w:rPr>
  </w:style>
  <w:style w:type="paragraph" w:styleId="Title">
    <w:name w:val="Title"/>
    <w:basedOn w:val="Normal"/>
    <w:next w:val="Normal"/>
    <w:link w:val="TitleChar"/>
    <w:uiPriority w:val="10"/>
    <w:qFormat/>
    <w:rsid w:val="00AB4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45E"/>
    <w:pPr>
      <w:spacing w:before="160"/>
      <w:jc w:val="center"/>
    </w:pPr>
    <w:rPr>
      <w:i/>
      <w:iCs/>
      <w:color w:val="404040" w:themeColor="text1" w:themeTint="BF"/>
    </w:rPr>
  </w:style>
  <w:style w:type="character" w:customStyle="1" w:styleId="QuoteChar">
    <w:name w:val="Quote Char"/>
    <w:basedOn w:val="DefaultParagraphFont"/>
    <w:link w:val="Quote"/>
    <w:uiPriority w:val="29"/>
    <w:rsid w:val="00AB445E"/>
    <w:rPr>
      <w:i/>
      <w:iCs/>
      <w:color w:val="404040" w:themeColor="text1" w:themeTint="BF"/>
    </w:rPr>
  </w:style>
  <w:style w:type="paragraph" w:styleId="ListParagraph">
    <w:name w:val="List Paragraph"/>
    <w:basedOn w:val="Normal"/>
    <w:uiPriority w:val="34"/>
    <w:qFormat/>
    <w:rsid w:val="00AB445E"/>
    <w:pPr>
      <w:ind w:left="720"/>
      <w:contextualSpacing/>
    </w:pPr>
  </w:style>
  <w:style w:type="character" w:styleId="IntenseEmphasis">
    <w:name w:val="Intense Emphasis"/>
    <w:basedOn w:val="DefaultParagraphFont"/>
    <w:uiPriority w:val="21"/>
    <w:qFormat/>
    <w:rsid w:val="00AB445E"/>
    <w:rPr>
      <w:i/>
      <w:iCs/>
      <w:color w:val="2F5496" w:themeColor="accent1" w:themeShade="BF"/>
    </w:rPr>
  </w:style>
  <w:style w:type="paragraph" w:styleId="IntenseQuote">
    <w:name w:val="Intense Quote"/>
    <w:basedOn w:val="Normal"/>
    <w:next w:val="Normal"/>
    <w:link w:val="IntenseQuoteChar"/>
    <w:uiPriority w:val="30"/>
    <w:qFormat/>
    <w:rsid w:val="00AB4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445E"/>
    <w:rPr>
      <w:i/>
      <w:iCs/>
      <w:color w:val="2F5496" w:themeColor="accent1" w:themeShade="BF"/>
    </w:rPr>
  </w:style>
  <w:style w:type="character" w:styleId="IntenseReference">
    <w:name w:val="Intense Reference"/>
    <w:basedOn w:val="DefaultParagraphFont"/>
    <w:uiPriority w:val="32"/>
    <w:qFormat/>
    <w:rsid w:val="00AB445E"/>
    <w:rPr>
      <w:b/>
      <w:bCs/>
      <w:smallCaps/>
      <w:color w:val="2F5496" w:themeColor="accent1" w:themeShade="BF"/>
      <w:spacing w:val="5"/>
    </w:rPr>
  </w:style>
  <w:style w:type="table" w:styleId="TableGrid">
    <w:name w:val="Table Grid"/>
    <w:basedOn w:val="TableNormal"/>
    <w:uiPriority w:val="39"/>
    <w:rsid w:val="00073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Newbold</dc:creator>
  <cp:keywords/>
  <dc:description/>
  <cp:lastModifiedBy>Elizabeth Newbold</cp:lastModifiedBy>
  <cp:revision>36</cp:revision>
  <dcterms:created xsi:type="dcterms:W3CDTF">2025-06-18T12:08:00Z</dcterms:created>
  <dcterms:modified xsi:type="dcterms:W3CDTF">2025-06-18T15:09:00Z</dcterms:modified>
</cp:coreProperties>
</file>